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A4E" w:rsidRPr="00C1662E" w:rsidRDefault="00176A4E" w:rsidP="00176A4E">
      <w:pPr>
        <w:jc w:val="both"/>
        <w:rPr>
          <w:rFonts w:asciiTheme="majorHAnsi" w:hAnsiTheme="majorHAnsi" w:cs="Calibri"/>
          <w:b/>
          <w:sz w:val="24"/>
          <w:szCs w:val="24"/>
        </w:rPr>
      </w:pPr>
      <w:r w:rsidRPr="00C1662E">
        <w:rPr>
          <w:rFonts w:asciiTheme="majorHAnsi" w:hAnsiTheme="majorHAnsi" w:cs="Calibri"/>
          <w:b/>
          <w:sz w:val="24"/>
          <w:szCs w:val="24"/>
        </w:rPr>
        <w:t>PARECER DO CONTROLE INTERNO Nº 0</w:t>
      </w:r>
      <w:r>
        <w:rPr>
          <w:rFonts w:asciiTheme="majorHAnsi" w:hAnsiTheme="majorHAnsi" w:cs="Calibri"/>
          <w:b/>
          <w:sz w:val="24"/>
          <w:szCs w:val="24"/>
        </w:rPr>
        <w:t>14</w:t>
      </w:r>
      <w:r w:rsidRPr="00C1662E">
        <w:rPr>
          <w:rFonts w:asciiTheme="majorHAnsi" w:hAnsiTheme="majorHAnsi" w:cs="Calibri"/>
          <w:b/>
          <w:sz w:val="24"/>
          <w:szCs w:val="24"/>
        </w:rPr>
        <w:t>/</w:t>
      </w:r>
      <w:r>
        <w:rPr>
          <w:rFonts w:asciiTheme="majorHAnsi" w:hAnsiTheme="majorHAnsi" w:cs="Calibri"/>
          <w:b/>
          <w:sz w:val="24"/>
          <w:szCs w:val="24"/>
        </w:rPr>
        <w:t>SCI-LIC/2022</w:t>
      </w:r>
    </w:p>
    <w:p w:rsidR="00176A4E" w:rsidRPr="00C1662E" w:rsidRDefault="00176A4E" w:rsidP="00176A4E">
      <w:pPr>
        <w:jc w:val="both"/>
        <w:rPr>
          <w:rFonts w:asciiTheme="majorHAnsi" w:hAnsiTheme="majorHAnsi" w:cs="Calibri"/>
          <w:b/>
          <w:sz w:val="24"/>
          <w:szCs w:val="24"/>
        </w:rPr>
      </w:pPr>
    </w:p>
    <w:p w:rsidR="00176A4E" w:rsidRPr="00C1662E" w:rsidRDefault="00176A4E" w:rsidP="00176A4E">
      <w:pPr>
        <w:jc w:val="both"/>
        <w:rPr>
          <w:rFonts w:asciiTheme="majorHAnsi" w:hAnsiTheme="majorHAnsi" w:cs="Calibri"/>
          <w:b/>
          <w:sz w:val="24"/>
          <w:szCs w:val="24"/>
        </w:rPr>
      </w:pPr>
    </w:p>
    <w:p w:rsidR="00176A4E" w:rsidRPr="00C1662E" w:rsidRDefault="00176A4E" w:rsidP="00176A4E">
      <w:pPr>
        <w:jc w:val="both"/>
        <w:rPr>
          <w:rFonts w:asciiTheme="majorHAnsi" w:hAnsiTheme="majorHAnsi" w:cs="Calibri"/>
          <w:b/>
          <w:sz w:val="24"/>
          <w:szCs w:val="24"/>
        </w:rPr>
      </w:pPr>
    </w:p>
    <w:p w:rsidR="00176A4E" w:rsidRPr="00C1662E" w:rsidRDefault="00176A4E" w:rsidP="00176A4E">
      <w:pPr>
        <w:jc w:val="both"/>
        <w:rPr>
          <w:rFonts w:asciiTheme="majorHAnsi" w:hAnsiTheme="majorHAnsi" w:cs="Calibri"/>
          <w:b/>
          <w:sz w:val="24"/>
          <w:szCs w:val="24"/>
        </w:rPr>
      </w:pPr>
    </w:p>
    <w:p w:rsidR="00176A4E" w:rsidRPr="00C1662E" w:rsidRDefault="00176A4E" w:rsidP="00176A4E">
      <w:pPr>
        <w:ind w:left="2268"/>
        <w:jc w:val="both"/>
        <w:rPr>
          <w:rFonts w:asciiTheme="majorHAnsi" w:hAnsiTheme="majorHAnsi" w:cs="Calibri"/>
          <w:b/>
          <w:sz w:val="24"/>
          <w:szCs w:val="24"/>
        </w:rPr>
      </w:pPr>
    </w:p>
    <w:p w:rsidR="00176A4E" w:rsidRPr="00C1662E" w:rsidRDefault="00176A4E" w:rsidP="00176A4E">
      <w:pPr>
        <w:ind w:left="2268"/>
        <w:jc w:val="both"/>
        <w:rPr>
          <w:rFonts w:asciiTheme="majorHAnsi" w:hAnsiTheme="majorHAnsi" w:cs="Calibri"/>
          <w:b/>
          <w:sz w:val="24"/>
          <w:szCs w:val="24"/>
        </w:rPr>
      </w:pPr>
    </w:p>
    <w:p w:rsidR="00176A4E" w:rsidRPr="00C1662E" w:rsidRDefault="00176A4E" w:rsidP="00176A4E">
      <w:pPr>
        <w:ind w:left="2268"/>
        <w:jc w:val="both"/>
        <w:rPr>
          <w:rFonts w:asciiTheme="majorHAnsi" w:hAnsiTheme="majorHAnsi" w:cs="Calibri"/>
          <w:sz w:val="24"/>
          <w:szCs w:val="24"/>
        </w:rPr>
      </w:pPr>
      <w:r w:rsidRPr="00C1662E">
        <w:rPr>
          <w:rFonts w:asciiTheme="majorHAnsi" w:hAnsiTheme="majorHAnsi" w:cs="Calibri"/>
          <w:b/>
          <w:sz w:val="24"/>
          <w:szCs w:val="24"/>
        </w:rPr>
        <w:t>TRATA-SE DE PARECER REFEREN</w:t>
      </w:r>
      <w:r>
        <w:rPr>
          <w:rFonts w:asciiTheme="majorHAnsi" w:hAnsiTheme="majorHAnsi" w:cs="Calibri"/>
          <w:b/>
          <w:sz w:val="24"/>
          <w:szCs w:val="24"/>
        </w:rPr>
        <w:t>TE DISPENSA Nº 11/2022</w:t>
      </w:r>
      <w:r w:rsidRPr="00C1662E">
        <w:rPr>
          <w:rFonts w:asciiTheme="majorHAnsi" w:hAnsiTheme="majorHAnsi" w:cs="Calibri"/>
          <w:b/>
          <w:sz w:val="24"/>
          <w:szCs w:val="24"/>
        </w:rPr>
        <w:t xml:space="preserve"> PROCESSO Nº </w:t>
      </w:r>
      <w:r>
        <w:rPr>
          <w:rFonts w:asciiTheme="majorHAnsi" w:hAnsiTheme="majorHAnsi" w:cs="Calibri"/>
          <w:b/>
          <w:sz w:val="24"/>
          <w:szCs w:val="24"/>
        </w:rPr>
        <w:t>024</w:t>
      </w:r>
      <w:r w:rsidRPr="00C1662E">
        <w:rPr>
          <w:rFonts w:asciiTheme="majorHAnsi" w:hAnsiTheme="majorHAnsi" w:cs="Calibri"/>
          <w:b/>
          <w:sz w:val="24"/>
          <w:szCs w:val="24"/>
        </w:rPr>
        <w:t>/20</w:t>
      </w:r>
      <w:r>
        <w:rPr>
          <w:rFonts w:asciiTheme="majorHAnsi" w:hAnsiTheme="majorHAnsi" w:cs="Calibri"/>
          <w:b/>
          <w:sz w:val="24"/>
          <w:szCs w:val="24"/>
        </w:rPr>
        <w:t>22</w:t>
      </w:r>
      <w:r w:rsidRPr="00C1662E">
        <w:rPr>
          <w:rFonts w:asciiTheme="majorHAnsi" w:hAnsiTheme="majorHAnsi" w:cs="Calibri"/>
          <w:b/>
          <w:sz w:val="24"/>
          <w:szCs w:val="24"/>
        </w:rPr>
        <w:t xml:space="preserve"> PARA </w:t>
      </w:r>
      <w:r>
        <w:rPr>
          <w:rFonts w:asciiTheme="majorHAnsi" w:hAnsiTheme="majorHAnsi" w:cs="Calibri"/>
          <w:b/>
          <w:sz w:val="24"/>
          <w:szCs w:val="24"/>
        </w:rPr>
        <w:t>LOCAÇÃO DE AUDITORIO PARA REALIZAÇÃO DE SESSÃO SOLENE EM HOMENAGEM AO DIA DO PROFESSSOR.</w:t>
      </w:r>
    </w:p>
    <w:p w:rsidR="00176A4E" w:rsidRPr="00C1662E" w:rsidRDefault="00176A4E" w:rsidP="00176A4E">
      <w:pPr>
        <w:jc w:val="both"/>
        <w:rPr>
          <w:rFonts w:asciiTheme="majorHAnsi" w:hAnsiTheme="majorHAnsi" w:cs="Calibri"/>
          <w:sz w:val="24"/>
          <w:szCs w:val="24"/>
        </w:rPr>
      </w:pPr>
    </w:p>
    <w:p w:rsidR="00176A4E" w:rsidRPr="00C1662E" w:rsidRDefault="00176A4E" w:rsidP="00176A4E">
      <w:pPr>
        <w:jc w:val="both"/>
        <w:rPr>
          <w:rFonts w:asciiTheme="majorHAnsi" w:hAnsiTheme="majorHAnsi" w:cs="Calibri"/>
          <w:sz w:val="24"/>
          <w:szCs w:val="24"/>
        </w:rPr>
      </w:pPr>
    </w:p>
    <w:p w:rsidR="00176A4E" w:rsidRPr="00C1662E" w:rsidRDefault="00176A4E" w:rsidP="00176A4E">
      <w:pPr>
        <w:jc w:val="both"/>
        <w:rPr>
          <w:rFonts w:asciiTheme="majorHAnsi" w:hAnsiTheme="majorHAnsi" w:cs="Calibri"/>
          <w:sz w:val="24"/>
          <w:szCs w:val="24"/>
        </w:rPr>
      </w:pPr>
    </w:p>
    <w:p w:rsidR="00176A4E" w:rsidRPr="00C1662E" w:rsidRDefault="00176A4E" w:rsidP="00176A4E">
      <w:pPr>
        <w:jc w:val="both"/>
        <w:rPr>
          <w:rFonts w:asciiTheme="majorHAnsi" w:hAnsiTheme="majorHAnsi" w:cs="Calibri"/>
          <w:sz w:val="24"/>
          <w:szCs w:val="24"/>
        </w:rPr>
      </w:pPr>
    </w:p>
    <w:p w:rsidR="00176A4E" w:rsidRPr="00C1662E" w:rsidRDefault="00176A4E" w:rsidP="00176A4E">
      <w:pPr>
        <w:jc w:val="both"/>
        <w:rPr>
          <w:rFonts w:asciiTheme="majorHAnsi" w:hAnsiTheme="majorHAnsi" w:cs="Calibri"/>
          <w:sz w:val="24"/>
          <w:szCs w:val="24"/>
        </w:rPr>
      </w:pPr>
    </w:p>
    <w:p w:rsidR="00176A4E" w:rsidRDefault="00176A4E" w:rsidP="00176A4E">
      <w:pPr>
        <w:autoSpaceDE w:val="0"/>
        <w:autoSpaceDN w:val="0"/>
        <w:adjustRightInd w:val="0"/>
        <w:spacing w:after="120"/>
        <w:jc w:val="both"/>
        <w:rPr>
          <w:rFonts w:asciiTheme="majorHAnsi" w:hAnsiTheme="majorHAnsi" w:cs="Calibri"/>
          <w:sz w:val="24"/>
          <w:szCs w:val="24"/>
        </w:rPr>
      </w:pPr>
      <w:r w:rsidRPr="00C1662E">
        <w:rPr>
          <w:rFonts w:asciiTheme="majorHAnsi" w:hAnsiTheme="majorHAnsi" w:cs="Calibri"/>
          <w:sz w:val="24"/>
          <w:szCs w:val="24"/>
        </w:rPr>
        <w:tab/>
        <w:t xml:space="preserve">Examinamos o processo licitatório </w:t>
      </w:r>
      <w:r>
        <w:rPr>
          <w:rFonts w:asciiTheme="majorHAnsi" w:hAnsiTheme="majorHAnsi" w:cs="Calibri"/>
          <w:sz w:val="24"/>
          <w:szCs w:val="24"/>
        </w:rPr>
        <w:t>acima descrito referente a locação de auditório para realização de sessão solene em homenagem ao dia do professor, e, constatamos, através da análise do processo como um todo, que os atos do processo estão regulares e todos os documentos necessários e hábeis à formalização do processo encontram-se apensados ao processo.</w:t>
      </w:r>
    </w:p>
    <w:p w:rsidR="00176A4E" w:rsidRPr="00C1662E" w:rsidRDefault="00176A4E" w:rsidP="00176A4E">
      <w:pPr>
        <w:autoSpaceDE w:val="0"/>
        <w:autoSpaceDN w:val="0"/>
        <w:adjustRightInd w:val="0"/>
        <w:spacing w:after="120"/>
        <w:ind w:firstLine="708"/>
        <w:jc w:val="both"/>
        <w:rPr>
          <w:rFonts w:asciiTheme="majorHAnsi" w:hAnsiTheme="majorHAnsi" w:cs="Calibri"/>
          <w:sz w:val="24"/>
          <w:szCs w:val="24"/>
        </w:rPr>
      </w:pPr>
      <w:r w:rsidRPr="00C1662E">
        <w:rPr>
          <w:rFonts w:asciiTheme="majorHAnsi" w:hAnsiTheme="majorHAnsi" w:cs="Calibri"/>
          <w:sz w:val="24"/>
          <w:szCs w:val="24"/>
        </w:rPr>
        <w:t>É o parecer.</w:t>
      </w:r>
    </w:p>
    <w:p w:rsidR="00176A4E" w:rsidRPr="00C1662E" w:rsidRDefault="00176A4E" w:rsidP="00176A4E">
      <w:pPr>
        <w:autoSpaceDE w:val="0"/>
        <w:autoSpaceDN w:val="0"/>
        <w:adjustRightInd w:val="0"/>
        <w:spacing w:after="120"/>
        <w:jc w:val="both"/>
        <w:rPr>
          <w:rFonts w:asciiTheme="majorHAnsi" w:hAnsiTheme="majorHAnsi" w:cs="Calibri"/>
          <w:sz w:val="24"/>
          <w:szCs w:val="24"/>
        </w:rPr>
      </w:pPr>
      <w:r w:rsidRPr="00C1662E">
        <w:rPr>
          <w:rFonts w:asciiTheme="majorHAnsi" w:hAnsiTheme="majorHAnsi" w:cs="Calibri"/>
          <w:sz w:val="24"/>
          <w:szCs w:val="24"/>
        </w:rPr>
        <w:tab/>
      </w:r>
    </w:p>
    <w:p w:rsidR="00176A4E" w:rsidRPr="00C1662E" w:rsidRDefault="00176A4E" w:rsidP="00176A4E">
      <w:pPr>
        <w:autoSpaceDE w:val="0"/>
        <w:autoSpaceDN w:val="0"/>
        <w:adjustRightInd w:val="0"/>
        <w:spacing w:after="120"/>
        <w:jc w:val="both"/>
        <w:rPr>
          <w:rFonts w:asciiTheme="majorHAnsi" w:hAnsiTheme="majorHAnsi" w:cs="Calibri"/>
          <w:sz w:val="24"/>
          <w:szCs w:val="24"/>
        </w:rPr>
      </w:pPr>
      <w:r w:rsidRPr="00C1662E">
        <w:rPr>
          <w:rFonts w:asciiTheme="majorHAnsi" w:hAnsiTheme="majorHAnsi" w:cs="Calibri"/>
          <w:sz w:val="24"/>
          <w:szCs w:val="24"/>
        </w:rPr>
        <w:t xml:space="preserve">     </w:t>
      </w:r>
    </w:p>
    <w:p w:rsidR="00176A4E" w:rsidRPr="00C1662E" w:rsidRDefault="00176A4E" w:rsidP="00176A4E">
      <w:pPr>
        <w:spacing w:line="360" w:lineRule="auto"/>
        <w:jc w:val="center"/>
        <w:rPr>
          <w:rFonts w:asciiTheme="majorHAnsi" w:hAnsiTheme="majorHAnsi" w:cs="Calibri"/>
          <w:sz w:val="24"/>
          <w:szCs w:val="24"/>
        </w:rPr>
      </w:pPr>
      <w:r w:rsidRPr="00C1662E">
        <w:rPr>
          <w:rFonts w:asciiTheme="majorHAnsi" w:hAnsiTheme="majorHAnsi" w:cs="Calibri"/>
          <w:sz w:val="24"/>
          <w:szCs w:val="24"/>
        </w:rPr>
        <w:t xml:space="preserve">Tangará da Serra-MT, </w:t>
      </w:r>
      <w:r>
        <w:rPr>
          <w:rFonts w:asciiTheme="majorHAnsi" w:hAnsiTheme="majorHAnsi" w:cs="Calibri"/>
          <w:sz w:val="24"/>
          <w:szCs w:val="24"/>
        </w:rPr>
        <w:t>07</w:t>
      </w:r>
      <w:r w:rsidRPr="00C1662E">
        <w:rPr>
          <w:rFonts w:asciiTheme="majorHAnsi" w:hAnsiTheme="majorHAnsi" w:cs="Calibri"/>
          <w:sz w:val="24"/>
          <w:szCs w:val="24"/>
        </w:rPr>
        <w:t xml:space="preserve"> de </w:t>
      </w:r>
      <w:r>
        <w:rPr>
          <w:rFonts w:asciiTheme="majorHAnsi" w:hAnsiTheme="majorHAnsi" w:cs="Calibri"/>
          <w:sz w:val="24"/>
          <w:szCs w:val="24"/>
        </w:rPr>
        <w:t xml:space="preserve">Outubro </w:t>
      </w:r>
      <w:r w:rsidRPr="00C1662E">
        <w:rPr>
          <w:rFonts w:asciiTheme="majorHAnsi" w:hAnsiTheme="majorHAnsi" w:cs="Calibri"/>
          <w:sz w:val="24"/>
          <w:szCs w:val="24"/>
        </w:rPr>
        <w:t>de 20</w:t>
      </w:r>
      <w:r>
        <w:rPr>
          <w:rFonts w:asciiTheme="majorHAnsi" w:hAnsiTheme="majorHAnsi" w:cs="Calibri"/>
          <w:sz w:val="24"/>
          <w:szCs w:val="24"/>
        </w:rPr>
        <w:t>22</w:t>
      </w:r>
      <w:r w:rsidRPr="00C1662E">
        <w:rPr>
          <w:rFonts w:asciiTheme="majorHAnsi" w:hAnsiTheme="majorHAnsi" w:cs="Calibri"/>
          <w:sz w:val="24"/>
          <w:szCs w:val="24"/>
        </w:rPr>
        <w:t>.</w:t>
      </w:r>
    </w:p>
    <w:p w:rsidR="00176A4E" w:rsidRPr="00C1662E" w:rsidRDefault="00176A4E" w:rsidP="00176A4E">
      <w:pPr>
        <w:jc w:val="center"/>
        <w:rPr>
          <w:rFonts w:asciiTheme="majorHAnsi" w:hAnsiTheme="majorHAnsi" w:cs="Calibri"/>
          <w:b/>
          <w:sz w:val="24"/>
          <w:szCs w:val="24"/>
        </w:rPr>
      </w:pPr>
    </w:p>
    <w:p w:rsidR="00176A4E" w:rsidRPr="00C1662E" w:rsidRDefault="00176A4E" w:rsidP="00176A4E">
      <w:pPr>
        <w:jc w:val="center"/>
        <w:rPr>
          <w:rFonts w:asciiTheme="majorHAnsi" w:hAnsiTheme="majorHAnsi" w:cs="Calibri"/>
          <w:b/>
          <w:sz w:val="24"/>
          <w:szCs w:val="24"/>
        </w:rPr>
      </w:pPr>
    </w:p>
    <w:p w:rsidR="00176A4E" w:rsidRPr="00C1662E" w:rsidRDefault="00176A4E" w:rsidP="00176A4E">
      <w:pPr>
        <w:jc w:val="center"/>
        <w:rPr>
          <w:rFonts w:asciiTheme="majorHAnsi" w:hAnsiTheme="majorHAnsi" w:cs="Calibri"/>
          <w:b/>
          <w:sz w:val="24"/>
          <w:szCs w:val="24"/>
        </w:rPr>
      </w:pPr>
    </w:p>
    <w:p w:rsidR="00176A4E" w:rsidRPr="00C1662E" w:rsidRDefault="00176A4E" w:rsidP="00176A4E">
      <w:pPr>
        <w:jc w:val="center"/>
        <w:rPr>
          <w:rFonts w:asciiTheme="majorHAnsi" w:hAnsiTheme="majorHAnsi" w:cs="Calibri"/>
          <w:b/>
          <w:sz w:val="24"/>
          <w:szCs w:val="24"/>
        </w:rPr>
      </w:pPr>
    </w:p>
    <w:p w:rsidR="00176A4E" w:rsidRPr="00C1662E" w:rsidRDefault="00176A4E" w:rsidP="00176A4E">
      <w:pPr>
        <w:jc w:val="center"/>
        <w:rPr>
          <w:rFonts w:asciiTheme="majorHAnsi" w:hAnsiTheme="majorHAnsi" w:cs="Calibri"/>
          <w:b/>
          <w:sz w:val="24"/>
          <w:szCs w:val="24"/>
        </w:rPr>
      </w:pPr>
      <w:r w:rsidRPr="00C1662E">
        <w:rPr>
          <w:rFonts w:asciiTheme="majorHAnsi" w:hAnsiTheme="majorHAnsi" w:cs="Calibri"/>
          <w:b/>
          <w:sz w:val="24"/>
          <w:szCs w:val="24"/>
        </w:rPr>
        <w:t>_____________________</w:t>
      </w:r>
      <w:r>
        <w:rPr>
          <w:rFonts w:asciiTheme="majorHAnsi" w:hAnsiTheme="majorHAnsi" w:cs="Calibri"/>
          <w:b/>
          <w:sz w:val="24"/>
          <w:szCs w:val="24"/>
        </w:rPr>
        <w:t>_____________</w:t>
      </w:r>
      <w:r w:rsidRPr="00C1662E">
        <w:rPr>
          <w:rFonts w:asciiTheme="majorHAnsi" w:hAnsiTheme="majorHAnsi" w:cs="Calibri"/>
          <w:b/>
          <w:sz w:val="24"/>
          <w:szCs w:val="24"/>
        </w:rPr>
        <w:t>_____________</w:t>
      </w:r>
    </w:p>
    <w:p w:rsidR="00176A4E" w:rsidRPr="00C1662E" w:rsidRDefault="00176A4E" w:rsidP="00176A4E">
      <w:pPr>
        <w:jc w:val="center"/>
        <w:rPr>
          <w:rFonts w:asciiTheme="majorHAnsi" w:hAnsiTheme="majorHAnsi" w:cs="Calibri"/>
          <w:b/>
          <w:sz w:val="24"/>
          <w:szCs w:val="24"/>
        </w:rPr>
      </w:pPr>
      <w:r w:rsidRPr="00C1662E">
        <w:rPr>
          <w:rFonts w:asciiTheme="majorHAnsi" w:hAnsiTheme="majorHAnsi" w:cs="Calibri"/>
          <w:b/>
          <w:sz w:val="24"/>
          <w:szCs w:val="24"/>
        </w:rPr>
        <w:t>LUCIANA DUARTE FELISBERTO</w:t>
      </w:r>
    </w:p>
    <w:p w:rsidR="00176A4E" w:rsidRPr="00C1662E" w:rsidRDefault="00176A4E" w:rsidP="00176A4E">
      <w:pPr>
        <w:jc w:val="center"/>
        <w:rPr>
          <w:rFonts w:asciiTheme="majorHAnsi" w:hAnsiTheme="majorHAnsi"/>
        </w:rPr>
      </w:pPr>
      <w:r w:rsidRPr="00C1662E">
        <w:rPr>
          <w:rFonts w:asciiTheme="majorHAnsi" w:hAnsiTheme="majorHAnsi" w:cs="Calibri"/>
          <w:b/>
          <w:sz w:val="24"/>
          <w:szCs w:val="24"/>
        </w:rPr>
        <w:t>Controladora Interna</w:t>
      </w:r>
    </w:p>
    <w:p w:rsidR="00176A4E" w:rsidRDefault="00176A4E" w:rsidP="00176A4E"/>
    <w:p w:rsidR="00176A4E" w:rsidRDefault="00176A4E" w:rsidP="00176A4E"/>
    <w:p w:rsidR="00176A4E" w:rsidRDefault="00176A4E" w:rsidP="00176A4E"/>
    <w:p w:rsidR="00164AF7" w:rsidRDefault="00164AF7"/>
    <w:sectPr w:rsidR="00164AF7" w:rsidSect="008C67F4">
      <w:headerReference w:type="default" r:id="rId6"/>
      <w:footerReference w:type="default" r:id="rId7"/>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7148" w:rsidRDefault="004C7148" w:rsidP="00176A4E">
      <w:r>
        <w:separator/>
      </w:r>
    </w:p>
  </w:endnote>
  <w:endnote w:type="continuationSeparator" w:id="0">
    <w:p w:rsidR="004C7148" w:rsidRDefault="004C7148" w:rsidP="00176A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423" w:rsidRDefault="004C7148" w:rsidP="003A5423">
    <w:pPr>
      <w:autoSpaceDE w:val="0"/>
      <w:autoSpaceDN w:val="0"/>
      <w:adjustRightInd w:val="0"/>
      <w:jc w:val="center"/>
      <w:rPr>
        <w:rFonts w:cs="Calibri"/>
        <w:sz w:val="16"/>
        <w:szCs w:val="16"/>
      </w:rPr>
    </w:pPr>
    <w:r>
      <w:rPr>
        <w:rFonts w:cs="Calibri"/>
        <w:sz w:val="16"/>
        <w:szCs w:val="16"/>
      </w:rPr>
      <w:t>_________________________________________________________________________________________________________________</w:t>
    </w:r>
  </w:p>
  <w:p w:rsidR="003A5423" w:rsidRPr="00C1662E" w:rsidRDefault="004C7148" w:rsidP="003A5423">
    <w:pPr>
      <w:autoSpaceDE w:val="0"/>
      <w:autoSpaceDN w:val="0"/>
      <w:adjustRightInd w:val="0"/>
      <w:jc w:val="center"/>
      <w:rPr>
        <w:rFonts w:asciiTheme="majorHAnsi" w:hAnsiTheme="majorHAnsi" w:cs="Calibri"/>
        <w:sz w:val="16"/>
        <w:szCs w:val="16"/>
      </w:rPr>
    </w:pPr>
    <w:r w:rsidRPr="00C1662E">
      <w:rPr>
        <w:rFonts w:asciiTheme="majorHAnsi" w:hAnsiTheme="majorHAnsi" w:cs="Calibri"/>
        <w:sz w:val="16"/>
        <w:szCs w:val="16"/>
      </w:rPr>
      <w:t>“</w:t>
    </w:r>
    <w:r w:rsidRPr="00C1662E">
      <w:rPr>
        <w:rFonts w:asciiTheme="majorHAnsi" w:hAnsiTheme="majorHAnsi" w:cs="Calibri"/>
        <w:color w:val="231F20"/>
        <w:sz w:val="16"/>
        <w:szCs w:val="16"/>
      </w:rPr>
      <w:t xml:space="preserve">O processo de controle interno deve, preferencialmente, ter caráter preventivo, ser exercido permanentemente e estar voltado para a correção </w:t>
    </w:r>
    <w:r w:rsidRPr="00C1662E">
      <w:rPr>
        <w:rFonts w:asciiTheme="majorHAnsi" w:hAnsiTheme="majorHAnsi" w:cs="Calibri"/>
        <w:color w:val="231F20"/>
        <w:sz w:val="16"/>
        <w:szCs w:val="16"/>
      </w:rPr>
      <w:t>de eventuais desvios em relação aos parâmetros estabelecidos, como instrumento auxiliar de gestão”.</w:t>
    </w:r>
  </w:p>
  <w:p w:rsidR="003A5423" w:rsidRPr="00C1662E" w:rsidRDefault="004C7148" w:rsidP="003A5423">
    <w:pPr>
      <w:autoSpaceDE w:val="0"/>
      <w:autoSpaceDN w:val="0"/>
      <w:adjustRightInd w:val="0"/>
      <w:jc w:val="center"/>
      <w:rPr>
        <w:rFonts w:asciiTheme="majorHAnsi" w:hAnsiTheme="majorHAnsi" w:cs="Calibri"/>
        <w:b/>
        <w:sz w:val="16"/>
        <w:szCs w:val="16"/>
      </w:rPr>
    </w:pPr>
    <w:r w:rsidRPr="00C1662E">
      <w:rPr>
        <w:rFonts w:asciiTheme="majorHAnsi" w:hAnsiTheme="majorHAnsi" w:cs="Calibri"/>
        <w:b/>
        <w:sz w:val="16"/>
        <w:szCs w:val="16"/>
      </w:rPr>
      <w:t xml:space="preserve">Rua Júlio Martinez Benevides, 195-S  -  </w:t>
    </w:r>
    <w:r w:rsidRPr="00C1662E">
      <w:rPr>
        <w:rFonts w:asciiTheme="majorHAnsi" w:hAnsiTheme="majorHAnsi" w:cs="Calibri"/>
        <w:b/>
        <w:sz w:val="16"/>
        <w:szCs w:val="16"/>
      </w:rPr>
      <w:t> 65-3311-4626 – 78300-000 Tangará da Serra-MT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7148" w:rsidRDefault="004C7148" w:rsidP="00176A4E">
      <w:r>
        <w:separator/>
      </w:r>
    </w:p>
  </w:footnote>
  <w:footnote w:type="continuationSeparator" w:id="0">
    <w:p w:rsidR="004C7148" w:rsidRDefault="004C7148" w:rsidP="00176A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A4E" w:rsidRPr="00C1662E" w:rsidRDefault="00176A4E" w:rsidP="00176A4E">
    <w:pPr>
      <w:pStyle w:val="Cabealho"/>
      <w:rPr>
        <w:rFonts w:asciiTheme="majorHAnsi" w:hAnsiTheme="majorHAnsi"/>
      </w:rPr>
    </w:pPr>
  </w:p>
  <w:tbl>
    <w:tblPr>
      <w:tblW w:w="0" w:type="auto"/>
      <w:tblBorders>
        <w:bottom w:val="single" w:sz="4" w:space="0" w:color="auto"/>
      </w:tblBorders>
      <w:tblCellMar>
        <w:left w:w="70" w:type="dxa"/>
        <w:right w:w="70" w:type="dxa"/>
      </w:tblCellMar>
      <w:tblLook w:val="0000"/>
    </w:tblPr>
    <w:tblGrid>
      <w:gridCol w:w="2420"/>
      <w:gridCol w:w="6791"/>
    </w:tblGrid>
    <w:tr w:rsidR="00176A4E" w:rsidRPr="00C1662E" w:rsidTr="00293BC6">
      <w:tc>
        <w:tcPr>
          <w:tcW w:w="2420" w:type="dxa"/>
        </w:tcPr>
        <w:p w:rsidR="00176A4E" w:rsidRPr="00C1662E" w:rsidRDefault="00176A4E" w:rsidP="00293BC6">
          <w:pPr>
            <w:pStyle w:val="Cabealho"/>
            <w:jc w:val="center"/>
            <w:rPr>
              <w:rFonts w:asciiTheme="majorHAnsi" w:hAnsiTheme="majorHAnsi" w:cs="Calibri"/>
              <w:sz w:val="24"/>
              <w:szCs w:val="24"/>
            </w:rPr>
          </w:pPr>
          <w:r w:rsidRPr="00C1662E">
            <w:rPr>
              <w:rFonts w:asciiTheme="majorHAnsi" w:hAnsiTheme="majorHAnsi" w:cs="Calibri"/>
              <w:sz w:val="24"/>
              <w:szCs w:val="24"/>
            </w:rPr>
            <w:object w:dxaOrig="2280" w:dyaOrig="2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69pt" o:ole="">
                <v:imagedata r:id="rId1" o:title=""/>
              </v:shape>
              <o:OLEObject Type="Embed" ProgID="PBrush" ShapeID="_x0000_i1025" DrawAspect="Content" ObjectID="_1726638854" r:id="rId2"/>
            </w:object>
          </w:r>
        </w:p>
        <w:p w:rsidR="00176A4E" w:rsidRPr="00C1662E" w:rsidRDefault="00176A4E" w:rsidP="00293BC6">
          <w:pPr>
            <w:pStyle w:val="Cabealho"/>
            <w:jc w:val="center"/>
            <w:rPr>
              <w:rFonts w:asciiTheme="majorHAnsi" w:hAnsiTheme="majorHAnsi" w:cs="Calibri"/>
              <w:sz w:val="16"/>
              <w:szCs w:val="16"/>
            </w:rPr>
          </w:pPr>
          <w:r w:rsidRPr="00C1662E">
            <w:rPr>
              <w:rFonts w:asciiTheme="majorHAnsi" w:hAnsiTheme="majorHAnsi" w:cs="Calibri"/>
              <w:sz w:val="16"/>
              <w:szCs w:val="16"/>
            </w:rPr>
            <w:t>CONTROLADORIA INTERNA</w:t>
          </w:r>
        </w:p>
      </w:tc>
      <w:tc>
        <w:tcPr>
          <w:tcW w:w="6791" w:type="dxa"/>
        </w:tcPr>
        <w:p w:rsidR="00176A4E" w:rsidRPr="00C1662E" w:rsidRDefault="00176A4E" w:rsidP="00293BC6">
          <w:pPr>
            <w:pStyle w:val="Cabealho"/>
            <w:jc w:val="center"/>
            <w:rPr>
              <w:rFonts w:asciiTheme="majorHAnsi" w:hAnsiTheme="majorHAnsi" w:cs="Calibri"/>
              <w:b/>
              <w:bCs/>
              <w:sz w:val="64"/>
              <w:szCs w:val="64"/>
            </w:rPr>
          </w:pPr>
          <w:r w:rsidRPr="00C1662E">
            <w:rPr>
              <w:rFonts w:asciiTheme="majorHAnsi" w:hAnsiTheme="majorHAnsi" w:cs="Calibri"/>
              <w:b/>
              <w:bCs/>
              <w:sz w:val="64"/>
              <w:szCs w:val="64"/>
            </w:rPr>
            <w:t>CÂMARA MUNICIPAL</w:t>
          </w:r>
        </w:p>
        <w:p w:rsidR="00176A4E" w:rsidRPr="00C1662E" w:rsidRDefault="00176A4E" w:rsidP="00293BC6">
          <w:pPr>
            <w:pStyle w:val="Cabealho"/>
            <w:jc w:val="center"/>
            <w:rPr>
              <w:rFonts w:asciiTheme="majorHAnsi" w:hAnsiTheme="majorHAnsi" w:cs="Calibri"/>
              <w:sz w:val="24"/>
              <w:szCs w:val="24"/>
            </w:rPr>
          </w:pPr>
          <w:r w:rsidRPr="00C1662E">
            <w:rPr>
              <w:rFonts w:asciiTheme="majorHAnsi" w:hAnsiTheme="majorHAnsi" w:cs="Calibri"/>
              <w:sz w:val="24"/>
              <w:szCs w:val="24"/>
            </w:rPr>
            <w:t>Tangará da Serra - Mato Grosso</w:t>
          </w:r>
        </w:p>
      </w:tc>
    </w:tr>
  </w:tbl>
  <w:p w:rsidR="00176A4E" w:rsidRDefault="00176A4E" w:rsidP="00176A4E">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176A4E"/>
    <w:rsid w:val="00164AF7"/>
    <w:rsid w:val="00176A4E"/>
    <w:rsid w:val="004C714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A4E"/>
    <w:pPr>
      <w:spacing w:after="0" w:line="240"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76A4E"/>
    <w:pPr>
      <w:tabs>
        <w:tab w:val="center" w:pos="4252"/>
        <w:tab w:val="right" w:pos="8504"/>
      </w:tabs>
    </w:pPr>
  </w:style>
  <w:style w:type="character" w:customStyle="1" w:styleId="CabealhoChar">
    <w:name w:val="Cabeçalho Char"/>
    <w:basedOn w:val="Fontepargpadro"/>
    <w:link w:val="Cabealho"/>
    <w:uiPriority w:val="99"/>
    <w:rsid w:val="00176A4E"/>
    <w:rPr>
      <w:rFonts w:ascii="Calibri" w:eastAsia="Calibri" w:hAnsi="Calibri" w:cs="Times New Roman"/>
    </w:rPr>
  </w:style>
  <w:style w:type="paragraph" w:styleId="Rodap">
    <w:name w:val="footer"/>
    <w:basedOn w:val="Normal"/>
    <w:link w:val="RodapChar"/>
    <w:uiPriority w:val="99"/>
    <w:semiHidden/>
    <w:unhideWhenUsed/>
    <w:rsid w:val="00176A4E"/>
    <w:pPr>
      <w:tabs>
        <w:tab w:val="center" w:pos="4252"/>
        <w:tab w:val="right" w:pos="8504"/>
      </w:tabs>
    </w:pPr>
  </w:style>
  <w:style w:type="character" w:customStyle="1" w:styleId="RodapChar">
    <w:name w:val="Rodapé Char"/>
    <w:basedOn w:val="Fontepargpadro"/>
    <w:link w:val="Rodap"/>
    <w:uiPriority w:val="99"/>
    <w:semiHidden/>
    <w:rsid w:val="00176A4E"/>
    <w:rPr>
      <w:rFonts w:ascii="Calibri" w:eastAsia="Calibri" w:hAnsi="Calibri" w:cs="Times New Roman"/>
    </w:rPr>
  </w:style>
  <w:style w:type="paragraph" w:styleId="Textodebalo">
    <w:name w:val="Balloon Text"/>
    <w:basedOn w:val="Normal"/>
    <w:link w:val="TextodebaloChar"/>
    <w:uiPriority w:val="99"/>
    <w:semiHidden/>
    <w:unhideWhenUsed/>
    <w:rsid w:val="00176A4E"/>
    <w:rPr>
      <w:rFonts w:ascii="Tahoma" w:hAnsi="Tahoma" w:cs="Tahoma"/>
      <w:sz w:val="16"/>
      <w:szCs w:val="16"/>
    </w:rPr>
  </w:style>
  <w:style w:type="character" w:customStyle="1" w:styleId="TextodebaloChar">
    <w:name w:val="Texto de balão Char"/>
    <w:basedOn w:val="Fontepargpadro"/>
    <w:link w:val="Textodebalo"/>
    <w:uiPriority w:val="99"/>
    <w:semiHidden/>
    <w:rsid w:val="00176A4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117</Words>
  <Characters>632</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Luciana</dc:creator>
  <cp:lastModifiedBy>Luciana</cp:lastModifiedBy>
  <cp:revision>1</cp:revision>
  <dcterms:created xsi:type="dcterms:W3CDTF">2022-10-07T13:05:00Z</dcterms:created>
  <dcterms:modified xsi:type="dcterms:W3CDTF">2022-10-07T13:08:00Z</dcterms:modified>
</cp:coreProperties>
</file>