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706" w:rsidRPr="000E6CFF" w:rsidRDefault="00F25706" w:rsidP="00F25706">
      <w:pPr>
        <w:jc w:val="both"/>
        <w:rPr>
          <w:rFonts w:asciiTheme="majorHAnsi" w:hAnsiTheme="majorHAnsi" w:cs="Calibri"/>
          <w:b/>
          <w:sz w:val="24"/>
          <w:szCs w:val="24"/>
        </w:rPr>
      </w:pPr>
      <w:r w:rsidRPr="000E6CFF">
        <w:rPr>
          <w:rFonts w:asciiTheme="majorHAnsi" w:hAnsiTheme="majorHAnsi" w:cs="Calibri"/>
          <w:b/>
          <w:sz w:val="24"/>
          <w:szCs w:val="24"/>
        </w:rPr>
        <w:t>PARECER DO CONTROLE INTERNO Nº 0</w:t>
      </w:r>
      <w:r>
        <w:rPr>
          <w:rFonts w:asciiTheme="majorHAnsi" w:hAnsiTheme="majorHAnsi" w:cs="Calibri"/>
          <w:b/>
          <w:sz w:val="24"/>
          <w:szCs w:val="24"/>
        </w:rPr>
        <w:t>14</w:t>
      </w:r>
      <w:r w:rsidRPr="000E6CFF">
        <w:rPr>
          <w:rFonts w:asciiTheme="majorHAnsi" w:hAnsiTheme="majorHAnsi" w:cs="Calibri"/>
          <w:b/>
          <w:sz w:val="24"/>
          <w:szCs w:val="24"/>
        </w:rPr>
        <w:t>/</w:t>
      </w:r>
      <w:r>
        <w:rPr>
          <w:rFonts w:asciiTheme="majorHAnsi" w:hAnsiTheme="majorHAnsi" w:cs="Calibri"/>
          <w:b/>
          <w:sz w:val="24"/>
          <w:szCs w:val="24"/>
        </w:rPr>
        <w:t>SCI-DESP/2020</w:t>
      </w:r>
    </w:p>
    <w:p w:rsidR="00F25706" w:rsidRPr="000E6CFF" w:rsidRDefault="00F25706" w:rsidP="00F25706">
      <w:pPr>
        <w:jc w:val="both"/>
        <w:rPr>
          <w:rFonts w:asciiTheme="majorHAnsi" w:hAnsiTheme="majorHAnsi" w:cs="Calibri"/>
          <w:b/>
          <w:sz w:val="24"/>
          <w:szCs w:val="24"/>
        </w:rPr>
      </w:pPr>
    </w:p>
    <w:p w:rsidR="00F25706" w:rsidRPr="000E6CFF" w:rsidRDefault="00F25706" w:rsidP="00F25706">
      <w:pPr>
        <w:jc w:val="both"/>
        <w:rPr>
          <w:rFonts w:asciiTheme="majorHAnsi" w:hAnsiTheme="majorHAnsi" w:cs="Calibri"/>
          <w:b/>
          <w:sz w:val="24"/>
          <w:szCs w:val="24"/>
        </w:rPr>
      </w:pPr>
    </w:p>
    <w:p w:rsidR="00F25706" w:rsidRDefault="00F25706" w:rsidP="00F25706">
      <w:pPr>
        <w:ind w:left="2268"/>
        <w:jc w:val="both"/>
        <w:rPr>
          <w:rFonts w:asciiTheme="majorHAnsi" w:hAnsiTheme="majorHAnsi" w:cs="Calibri"/>
          <w:b/>
          <w:sz w:val="24"/>
          <w:szCs w:val="24"/>
        </w:rPr>
      </w:pPr>
    </w:p>
    <w:p w:rsidR="00F25706" w:rsidRDefault="00F25706" w:rsidP="00F25706">
      <w:pPr>
        <w:ind w:left="2268"/>
        <w:jc w:val="both"/>
        <w:rPr>
          <w:rFonts w:asciiTheme="majorHAnsi" w:hAnsiTheme="majorHAnsi" w:cs="Calibri"/>
          <w:b/>
          <w:sz w:val="24"/>
          <w:szCs w:val="24"/>
        </w:rPr>
      </w:pPr>
    </w:p>
    <w:p w:rsidR="00F25706" w:rsidRDefault="00F25706" w:rsidP="00F25706">
      <w:pPr>
        <w:ind w:left="2268"/>
        <w:jc w:val="both"/>
        <w:rPr>
          <w:rFonts w:asciiTheme="majorHAnsi" w:hAnsiTheme="majorHAnsi" w:cs="Calibri"/>
          <w:b/>
          <w:sz w:val="24"/>
          <w:szCs w:val="24"/>
        </w:rPr>
      </w:pPr>
    </w:p>
    <w:p w:rsidR="00F25706" w:rsidRPr="000E6CFF" w:rsidRDefault="00F25706" w:rsidP="00F25706">
      <w:pPr>
        <w:ind w:left="2268"/>
        <w:jc w:val="both"/>
        <w:rPr>
          <w:rFonts w:asciiTheme="majorHAnsi" w:hAnsiTheme="majorHAnsi" w:cs="Calibri"/>
          <w:b/>
          <w:sz w:val="24"/>
          <w:szCs w:val="24"/>
        </w:rPr>
      </w:pPr>
      <w:r w:rsidRPr="000E6CFF">
        <w:rPr>
          <w:rFonts w:asciiTheme="majorHAnsi" w:hAnsiTheme="majorHAnsi" w:cs="Calibri"/>
          <w:b/>
          <w:sz w:val="24"/>
          <w:szCs w:val="24"/>
        </w:rPr>
        <w:t xml:space="preserve">TRATA-SE DE PARECER REFERENTE </w:t>
      </w:r>
      <w:r>
        <w:rPr>
          <w:rFonts w:asciiTheme="majorHAnsi" w:hAnsiTheme="majorHAnsi" w:cs="Calibri"/>
          <w:b/>
          <w:sz w:val="24"/>
          <w:szCs w:val="24"/>
        </w:rPr>
        <w:t>AQUISIÇÃO DE BENS DE CONSUMO DE MENOR VALOR.</w:t>
      </w:r>
    </w:p>
    <w:p w:rsidR="00F25706" w:rsidRPr="000E6CFF" w:rsidRDefault="00F25706" w:rsidP="00F25706">
      <w:pPr>
        <w:ind w:left="2268"/>
        <w:jc w:val="both"/>
        <w:rPr>
          <w:rFonts w:asciiTheme="majorHAnsi" w:hAnsiTheme="majorHAnsi" w:cs="Calibri"/>
          <w:b/>
          <w:sz w:val="24"/>
          <w:szCs w:val="24"/>
        </w:rPr>
      </w:pPr>
    </w:p>
    <w:p w:rsidR="00F25706" w:rsidRDefault="00F25706" w:rsidP="00F25706">
      <w:pPr>
        <w:autoSpaceDE w:val="0"/>
        <w:autoSpaceDN w:val="0"/>
        <w:adjustRightInd w:val="0"/>
        <w:ind w:firstLine="708"/>
        <w:jc w:val="both"/>
        <w:rPr>
          <w:rFonts w:asciiTheme="majorHAnsi" w:hAnsiTheme="majorHAnsi" w:cs="Calibri"/>
          <w:sz w:val="24"/>
          <w:szCs w:val="24"/>
        </w:rPr>
      </w:pPr>
    </w:p>
    <w:p w:rsidR="00F25706" w:rsidRDefault="00F25706" w:rsidP="00F25706">
      <w:pPr>
        <w:autoSpaceDE w:val="0"/>
        <w:autoSpaceDN w:val="0"/>
        <w:adjustRightInd w:val="0"/>
        <w:ind w:firstLine="708"/>
        <w:jc w:val="both"/>
        <w:rPr>
          <w:rFonts w:asciiTheme="majorHAnsi" w:hAnsiTheme="majorHAnsi" w:cs="Calibri"/>
          <w:sz w:val="24"/>
          <w:szCs w:val="24"/>
        </w:rPr>
      </w:pPr>
    </w:p>
    <w:p w:rsidR="00F25706" w:rsidRDefault="00F25706" w:rsidP="00F25706">
      <w:pPr>
        <w:autoSpaceDE w:val="0"/>
        <w:autoSpaceDN w:val="0"/>
        <w:adjustRightInd w:val="0"/>
        <w:ind w:firstLine="708"/>
        <w:jc w:val="both"/>
        <w:rPr>
          <w:rFonts w:asciiTheme="majorHAnsi" w:hAnsiTheme="majorHAnsi" w:cs="Calibri"/>
          <w:sz w:val="24"/>
          <w:szCs w:val="24"/>
        </w:rPr>
      </w:pPr>
    </w:p>
    <w:p w:rsidR="00F25706" w:rsidRDefault="00F25706" w:rsidP="00F25706">
      <w:pPr>
        <w:autoSpaceDE w:val="0"/>
        <w:autoSpaceDN w:val="0"/>
        <w:adjustRightInd w:val="0"/>
        <w:ind w:firstLine="708"/>
        <w:jc w:val="both"/>
        <w:rPr>
          <w:rFonts w:asciiTheme="majorHAnsi" w:hAnsiTheme="majorHAnsi" w:cs="Calibri"/>
          <w:sz w:val="24"/>
          <w:szCs w:val="24"/>
        </w:rPr>
      </w:pPr>
    </w:p>
    <w:p w:rsidR="00F25706" w:rsidRDefault="00F25706" w:rsidP="00F25706">
      <w:pPr>
        <w:autoSpaceDE w:val="0"/>
        <w:autoSpaceDN w:val="0"/>
        <w:adjustRightInd w:val="0"/>
        <w:ind w:firstLine="708"/>
        <w:jc w:val="both"/>
        <w:rPr>
          <w:rFonts w:asciiTheme="majorHAnsi" w:hAnsiTheme="majorHAnsi" w:cs="Calibri"/>
          <w:sz w:val="24"/>
          <w:szCs w:val="24"/>
        </w:rPr>
      </w:pPr>
      <w:r>
        <w:rPr>
          <w:rFonts w:asciiTheme="majorHAnsi" w:hAnsiTheme="majorHAnsi" w:cs="Calibri"/>
          <w:sz w:val="24"/>
          <w:szCs w:val="24"/>
        </w:rPr>
        <w:t>O Departamento de Compra solicitou análise sobre a aquisição de assento sanitário para banheiro feminino</w:t>
      </w:r>
      <w:r w:rsidR="009B28D7">
        <w:rPr>
          <w:rFonts w:asciiTheme="majorHAnsi" w:hAnsiTheme="majorHAnsi" w:cs="Calibri"/>
          <w:sz w:val="24"/>
          <w:szCs w:val="24"/>
        </w:rPr>
        <w:t>, juntando os orçamentos e as certidões exigidas legalmente.</w:t>
      </w:r>
    </w:p>
    <w:p w:rsidR="009B28D7" w:rsidRDefault="009B28D7" w:rsidP="00F25706">
      <w:pPr>
        <w:autoSpaceDE w:val="0"/>
        <w:autoSpaceDN w:val="0"/>
        <w:adjustRightInd w:val="0"/>
        <w:ind w:firstLine="708"/>
        <w:jc w:val="both"/>
        <w:rPr>
          <w:rFonts w:asciiTheme="majorHAnsi" w:hAnsiTheme="majorHAnsi" w:cs="Calibri"/>
          <w:sz w:val="24"/>
          <w:szCs w:val="24"/>
        </w:rPr>
      </w:pPr>
      <w:r>
        <w:rPr>
          <w:rFonts w:asciiTheme="majorHAnsi" w:hAnsiTheme="majorHAnsi" w:cs="Calibri"/>
          <w:sz w:val="24"/>
          <w:szCs w:val="24"/>
        </w:rPr>
        <w:t xml:space="preserve">Pelo valor do bem, a compra </w:t>
      </w:r>
      <w:proofErr w:type="gramStart"/>
      <w:r>
        <w:rPr>
          <w:rFonts w:asciiTheme="majorHAnsi" w:hAnsiTheme="majorHAnsi" w:cs="Calibri"/>
          <w:sz w:val="24"/>
          <w:szCs w:val="24"/>
        </w:rPr>
        <w:t>encaixa-se</w:t>
      </w:r>
      <w:proofErr w:type="gramEnd"/>
      <w:r>
        <w:rPr>
          <w:rFonts w:asciiTheme="majorHAnsi" w:hAnsiTheme="majorHAnsi" w:cs="Calibri"/>
          <w:sz w:val="24"/>
          <w:szCs w:val="24"/>
        </w:rPr>
        <w:t xml:space="preserve"> no quesito de dispensa de licitação, entretanto, as condições de regularidade fiscal e financeira devem ser demonstradas. Contudo, uma única empresa possui o material desejado e não conseguiu comprovar sua regularidade com o fisco estadual. </w:t>
      </w:r>
    </w:p>
    <w:p w:rsidR="009B28D7" w:rsidRDefault="009B28D7" w:rsidP="00F25706">
      <w:pPr>
        <w:autoSpaceDE w:val="0"/>
        <w:autoSpaceDN w:val="0"/>
        <w:adjustRightInd w:val="0"/>
        <w:ind w:firstLine="708"/>
        <w:jc w:val="both"/>
        <w:rPr>
          <w:rFonts w:asciiTheme="majorHAnsi" w:hAnsiTheme="majorHAnsi" w:cs="Calibri"/>
          <w:sz w:val="24"/>
          <w:szCs w:val="24"/>
        </w:rPr>
      </w:pPr>
      <w:r>
        <w:rPr>
          <w:rFonts w:asciiTheme="majorHAnsi" w:hAnsiTheme="majorHAnsi" w:cs="Calibri"/>
          <w:sz w:val="24"/>
          <w:szCs w:val="24"/>
        </w:rPr>
        <w:t>Porém, pela pr</w:t>
      </w:r>
      <w:r w:rsidR="00684B0D">
        <w:rPr>
          <w:rFonts w:asciiTheme="majorHAnsi" w:hAnsiTheme="majorHAnsi" w:cs="Calibri"/>
          <w:sz w:val="24"/>
          <w:szCs w:val="24"/>
        </w:rPr>
        <w:t>emente necessidade de se manter as dependências da Câmara Municipal em bom estado de conservação e cuidado, aliado ao valor irrisório do bem, e seguindo todas as regras de aquisições públicas, opinamos sobre a realização da compra</w:t>
      </w:r>
    </w:p>
    <w:p w:rsidR="00F25706" w:rsidRPr="000E6CFF" w:rsidRDefault="00684B0D" w:rsidP="00F25706">
      <w:pPr>
        <w:pStyle w:val="NormalWeb"/>
        <w:spacing w:before="0" w:beforeAutospacing="0" w:after="120" w:afterAutospacing="0"/>
        <w:ind w:firstLine="708"/>
        <w:jc w:val="both"/>
        <w:rPr>
          <w:rFonts w:asciiTheme="majorHAnsi" w:hAnsiTheme="majorHAnsi" w:cs="Arial"/>
          <w:color w:val="000000"/>
        </w:rPr>
      </w:pPr>
      <w:r>
        <w:rPr>
          <w:rFonts w:asciiTheme="majorHAnsi" w:hAnsiTheme="majorHAnsi" w:cs="Calibri"/>
        </w:rPr>
        <w:t xml:space="preserve">É </w:t>
      </w:r>
      <w:r w:rsidR="00F25706" w:rsidRPr="000E6CFF">
        <w:rPr>
          <w:rFonts w:asciiTheme="majorHAnsi" w:hAnsiTheme="majorHAnsi" w:cs="Calibri"/>
        </w:rPr>
        <w:t>o parecer.</w:t>
      </w:r>
    </w:p>
    <w:p w:rsidR="00F25706" w:rsidRDefault="00F25706" w:rsidP="00F25706">
      <w:pPr>
        <w:spacing w:line="360" w:lineRule="auto"/>
        <w:jc w:val="center"/>
        <w:rPr>
          <w:rFonts w:asciiTheme="majorHAnsi" w:hAnsiTheme="majorHAnsi" w:cs="Calibri"/>
          <w:sz w:val="24"/>
          <w:szCs w:val="24"/>
        </w:rPr>
      </w:pPr>
    </w:p>
    <w:p w:rsidR="00F25706" w:rsidRDefault="00F25706" w:rsidP="00F25706">
      <w:pPr>
        <w:spacing w:line="360" w:lineRule="auto"/>
        <w:jc w:val="center"/>
        <w:rPr>
          <w:rFonts w:asciiTheme="majorHAnsi" w:hAnsiTheme="majorHAnsi" w:cs="Calibri"/>
          <w:sz w:val="24"/>
          <w:szCs w:val="24"/>
        </w:rPr>
      </w:pPr>
    </w:p>
    <w:p w:rsidR="00F25706" w:rsidRDefault="00F25706" w:rsidP="00F25706">
      <w:pPr>
        <w:spacing w:line="360" w:lineRule="auto"/>
        <w:jc w:val="center"/>
        <w:rPr>
          <w:rFonts w:asciiTheme="majorHAnsi" w:hAnsiTheme="majorHAnsi" w:cs="Calibri"/>
          <w:sz w:val="24"/>
          <w:szCs w:val="24"/>
        </w:rPr>
      </w:pPr>
    </w:p>
    <w:p w:rsidR="00F25706" w:rsidRDefault="00F25706" w:rsidP="00F25706">
      <w:pPr>
        <w:spacing w:line="360" w:lineRule="auto"/>
        <w:jc w:val="center"/>
        <w:rPr>
          <w:rFonts w:asciiTheme="majorHAnsi" w:hAnsiTheme="majorHAnsi" w:cs="Calibri"/>
          <w:sz w:val="24"/>
          <w:szCs w:val="24"/>
        </w:rPr>
      </w:pPr>
      <w:r w:rsidRPr="000E6CFF">
        <w:rPr>
          <w:rFonts w:asciiTheme="majorHAnsi" w:hAnsiTheme="majorHAnsi" w:cs="Calibri"/>
          <w:sz w:val="24"/>
          <w:szCs w:val="24"/>
        </w:rPr>
        <w:t xml:space="preserve">Tangará da Serra-MT, </w:t>
      </w:r>
      <w:r w:rsidR="00684B0D">
        <w:rPr>
          <w:rFonts w:asciiTheme="majorHAnsi" w:hAnsiTheme="majorHAnsi" w:cs="Calibri"/>
          <w:sz w:val="24"/>
          <w:szCs w:val="24"/>
        </w:rPr>
        <w:t>21</w:t>
      </w:r>
      <w:r w:rsidRPr="000E6CFF">
        <w:rPr>
          <w:rFonts w:asciiTheme="majorHAnsi" w:hAnsiTheme="majorHAnsi" w:cs="Calibri"/>
          <w:sz w:val="24"/>
          <w:szCs w:val="24"/>
        </w:rPr>
        <w:t xml:space="preserve"> de </w:t>
      </w:r>
      <w:r w:rsidR="00684B0D">
        <w:rPr>
          <w:rFonts w:asciiTheme="majorHAnsi" w:hAnsiTheme="majorHAnsi" w:cs="Calibri"/>
          <w:sz w:val="24"/>
          <w:szCs w:val="24"/>
        </w:rPr>
        <w:t>Agosto</w:t>
      </w:r>
      <w:r w:rsidRPr="000E6CFF">
        <w:rPr>
          <w:rFonts w:asciiTheme="majorHAnsi" w:hAnsiTheme="majorHAnsi" w:cs="Calibri"/>
          <w:sz w:val="24"/>
          <w:szCs w:val="24"/>
        </w:rPr>
        <w:t xml:space="preserve"> </w:t>
      </w:r>
      <w:proofErr w:type="spellStart"/>
      <w:r w:rsidRPr="000E6CFF">
        <w:rPr>
          <w:rFonts w:asciiTheme="majorHAnsi" w:hAnsiTheme="majorHAnsi" w:cs="Calibri"/>
          <w:sz w:val="24"/>
          <w:szCs w:val="24"/>
        </w:rPr>
        <w:t>de</w:t>
      </w:r>
      <w:proofErr w:type="spellEnd"/>
      <w:r w:rsidRPr="000E6CFF">
        <w:rPr>
          <w:rFonts w:asciiTheme="majorHAnsi" w:hAnsiTheme="majorHAnsi" w:cs="Calibri"/>
          <w:sz w:val="24"/>
          <w:szCs w:val="24"/>
        </w:rPr>
        <w:t xml:space="preserve"> 20</w:t>
      </w:r>
      <w:r>
        <w:rPr>
          <w:rFonts w:asciiTheme="majorHAnsi" w:hAnsiTheme="majorHAnsi" w:cs="Calibri"/>
          <w:sz w:val="24"/>
          <w:szCs w:val="24"/>
        </w:rPr>
        <w:t>20</w:t>
      </w:r>
      <w:r w:rsidRPr="000E6CFF">
        <w:rPr>
          <w:rFonts w:asciiTheme="majorHAnsi" w:hAnsiTheme="majorHAnsi" w:cs="Calibri"/>
          <w:sz w:val="24"/>
          <w:szCs w:val="24"/>
        </w:rPr>
        <w:t>.</w:t>
      </w:r>
    </w:p>
    <w:p w:rsidR="00F25706" w:rsidRDefault="00F25706" w:rsidP="00F25706">
      <w:pPr>
        <w:spacing w:line="360" w:lineRule="auto"/>
        <w:jc w:val="center"/>
        <w:rPr>
          <w:rFonts w:asciiTheme="majorHAnsi" w:hAnsiTheme="majorHAnsi" w:cs="Calibri"/>
          <w:sz w:val="24"/>
          <w:szCs w:val="24"/>
        </w:rPr>
      </w:pPr>
    </w:p>
    <w:p w:rsidR="00F25706" w:rsidRPr="000E6CFF" w:rsidRDefault="00F25706" w:rsidP="00F25706">
      <w:pPr>
        <w:spacing w:line="360" w:lineRule="auto"/>
        <w:jc w:val="center"/>
        <w:rPr>
          <w:rFonts w:asciiTheme="majorHAnsi" w:hAnsiTheme="majorHAnsi" w:cs="Calibri"/>
          <w:sz w:val="24"/>
          <w:szCs w:val="24"/>
        </w:rPr>
      </w:pPr>
    </w:p>
    <w:p w:rsidR="00F25706" w:rsidRPr="000E6CFF" w:rsidRDefault="00F25706" w:rsidP="00F25706">
      <w:pPr>
        <w:jc w:val="center"/>
        <w:rPr>
          <w:rFonts w:asciiTheme="majorHAnsi" w:hAnsiTheme="majorHAnsi" w:cs="Calibri"/>
          <w:b/>
          <w:sz w:val="24"/>
          <w:szCs w:val="24"/>
        </w:rPr>
      </w:pPr>
      <w:r w:rsidRPr="000E6CFF">
        <w:rPr>
          <w:rFonts w:asciiTheme="majorHAnsi" w:hAnsiTheme="majorHAnsi" w:cs="Calibri"/>
          <w:b/>
          <w:sz w:val="24"/>
          <w:szCs w:val="24"/>
        </w:rPr>
        <w:t>_____________________</w:t>
      </w:r>
      <w:r>
        <w:rPr>
          <w:rFonts w:asciiTheme="majorHAnsi" w:hAnsiTheme="majorHAnsi" w:cs="Calibri"/>
          <w:b/>
          <w:sz w:val="24"/>
          <w:szCs w:val="24"/>
        </w:rPr>
        <w:t>___________</w:t>
      </w:r>
      <w:r w:rsidRPr="000E6CFF">
        <w:rPr>
          <w:rFonts w:asciiTheme="majorHAnsi" w:hAnsiTheme="majorHAnsi" w:cs="Calibri"/>
          <w:b/>
          <w:sz w:val="24"/>
          <w:szCs w:val="24"/>
        </w:rPr>
        <w:t>_____________</w:t>
      </w:r>
    </w:p>
    <w:p w:rsidR="00F25706" w:rsidRPr="000E6CFF" w:rsidRDefault="00F25706" w:rsidP="00F25706">
      <w:pPr>
        <w:jc w:val="center"/>
        <w:rPr>
          <w:rFonts w:asciiTheme="majorHAnsi" w:hAnsiTheme="majorHAnsi" w:cs="Calibri"/>
          <w:b/>
          <w:sz w:val="24"/>
          <w:szCs w:val="24"/>
        </w:rPr>
      </w:pPr>
      <w:r w:rsidRPr="000E6CFF">
        <w:rPr>
          <w:rFonts w:asciiTheme="majorHAnsi" w:hAnsiTheme="majorHAnsi" w:cs="Calibri"/>
          <w:b/>
          <w:sz w:val="24"/>
          <w:szCs w:val="24"/>
        </w:rPr>
        <w:t>LUCIANA DUARTE FELISBERTO</w:t>
      </w:r>
    </w:p>
    <w:p w:rsidR="00F25706" w:rsidRDefault="00F25706" w:rsidP="00F25706">
      <w:pPr>
        <w:jc w:val="center"/>
      </w:pPr>
      <w:r w:rsidRPr="000E6CFF">
        <w:rPr>
          <w:rFonts w:asciiTheme="majorHAnsi" w:hAnsiTheme="majorHAnsi" w:cs="Calibri"/>
          <w:b/>
          <w:sz w:val="24"/>
          <w:szCs w:val="24"/>
        </w:rPr>
        <w:t xml:space="preserve">Controladora Interna  </w:t>
      </w:r>
      <w:r>
        <w:rPr>
          <w:rFonts w:asciiTheme="majorHAnsi" w:hAnsiTheme="majorHAnsi" w:cs="Calibri"/>
          <w:b/>
          <w:sz w:val="24"/>
          <w:szCs w:val="24"/>
        </w:rPr>
        <w:t xml:space="preserve">   </w:t>
      </w:r>
    </w:p>
    <w:p w:rsidR="00F25706" w:rsidRDefault="00F25706" w:rsidP="00F25706"/>
    <w:p w:rsidR="00754EAE" w:rsidRDefault="00754EAE"/>
    <w:sectPr w:rsidR="00754EAE" w:rsidSect="008B0A83">
      <w:headerReference w:type="default" r:id="rId4"/>
      <w:footerReference w:type="default" r:id="rId5"/>
      <w:pgSz w:w="11906" w:h="16838"/>
      <w:pgMar w:top="567" w:right="851" w:bottom="56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0A83" w:rsidRDefault="00684B0D" w:rsidP="008B0A83">
    <w:pPr>
      <w:autoSpaceDE w:val="0"/>
      <w:autoSpaceDN w:val="0"/>
      <w:adjustRightInd w:val="0"/>
      <w:jc w:val="center"/>
      <w:rPr>
        <w:rFonts w:cs="Calibri"/>
        <w:sz w:val="16"/>
        <w:szCs w:val="16"/>
      </w:rPr>
    </w:pPr>
    <w:r>
      <w:rPr>
        <w:rFonts w:cs="Calibri"/>
        <w:sz w:val="16"/>
        <w:szCs w:val="16"/>
      </w:rPr>
      <w:t>_______________________________________________________________________________________________________</w:t>
    </w:r>
  </w:p>
  <w:p w:rsidR="008B0A83" w:rsidRPr="00A87426" w:rsidRDefault="00684B0D" w:rsidP="008B0A83">
    <w:pPr>
      <w:autoSpaceDE w:val="0"/>
      <w:autoSpaceDN w:val="0"/>
      <w:adjustRightInd w:val="0"/>
      <w:jc w:val="center"/>
      <w:rPr>
        <w:rFonts w:cs="Calibri"/>
        <w:sz w:val="16"/>
        <w:szCs w:val="16"/>
      </w:rPr>
    </w:pPr>
    <w:r w:rsidRPr="00A87426">
      <w:rPr>
        <w:rFonts w:cs="Calibri"/>
        <w:sz w:val="16"/>
        <w:szCs w:val="16"/>
      </w:rPr>
      <w:t>“</w:t>
    </w:r>
    <w:r w:rsidRPr="00A87426">
      <w:rPr>
        <w:rFonts w:cs="Calibri"/>
        <w:color w:val="231F20"/>
        <w:sz w:val="16"/>
        <w:szCs w:val="16"/>
      </w:rPr>
      <w:t>O processo de controle interno deve, preferencialmente, ter caráter preventivo, ser exercido permanentemente</w:t>
    </w:r>
    <w:r w:rsidRPr="00A87426">
      <w:rPr>
        <w:rFonts w:cs="Calibri"/>
        <w:color w:val="231F20"/>
        <w:sz w:val="16"/>
        <w:szCs w:val="16"/>
      </w:rPr>
      <w:t xml:space="preserve"> e estar voltado para a correção de eventuais desvios em relação aos parâmetros estabelecidos, como instrumento auxiliar de gestão</w:t>
    </w:r>
    <w:r>
      <w:rPr>
        <w:rFonts w:cs="Calibri"/>
        <w:color w:val="231F20"/>
        <w:sz w:val="16"/>
        <w:szCs w:val="16"/>
      </w:rPr>
      <w:t>”</w:t>
    </w:r>
    <w:r w:rsidRPr="00A87426">
      <w:rPr>
        <w:rFonts w:cs="Calibri"/>
        <w:color w:val="231F20"/>
        <w:sz w:val="16"/>
        <w:szCs w:val="16"/>
      </w:rPr>
      <w:t>.</w:t>
    </w:r>
  </w:p>
  <w:p w:rsidR="008B0A83" w:rsidRPr="00A87426" w:rsidRDefault="00684B0D" w:rsidP="008B0A83">
    <w:pPr>
      <w:autoSpaceDE w:val="0"/>
      <w:autoSpaceDN w:val="0"/>
      <w:adjustRightInd w:val="0"/>
      <w:jc w:val="center"/>
      <w:rPr>
        <w:rFonts w:cs="Calibri"/>
        <w:b/>
        <w:sz w:val="16"/>
        <w:szCs w:val="16"/>
      </w:rPr>
    </w:pPr>
    <w:r w:rsidRPr="00A87426">
      <w:rPr>
        <w:rFonts w:cs="Calibri"/>
        <w:b/>
        <w:sz w:val="16"/>
        <w:szCs w:val="16"/>
      </w:rPr>
      <w:t>Rua Júlio Martinez Benevides, 195-S</w:t>
    </w:r>
    <w:proofErr w:type="gramStart"/>
    <w:r w:rsidRPr="00A87426">
      <w:rPr>
        <w:rFonts w:cs="Calibri"/>
        <w:b/>
        <w:sz w:val="16"/>
        <w:szCs w:val="16"/>
      </w:rPr>
      <w:t xml:space="preserve">  </w:t>
    </w:r>
    <w:proofErr w:type="gramEnd"/>
    <w:r w:rsidRPr="00A87426">
      <w:rPr>
        <w:rFonts w:cs="Calibri"/>
        <w:b/>
        <w:sz w:val="16"/>
        <w:szCs w:val="16"/>
      </w:rPr>
      <w:t xml:space="preserve">-  </w:t>
    </w:r>
    <w:r w:rsidRPr="00A87426">
      <w:rPr>
        <w:rFonts w:cs="Calibri"/>
        <w:b/>
        <w:sz w:val="16"/>
        <w:szCs w:val="16"/>
      </w:rPr>
      <w:t> 65-3311-46</w:t>
    </w:r>
    <w:r>
      <w:rPr>
        <w:rFonts w:cs="Calibri"/>
        <w:b/>
        <w:sz w:val="16"/>
        <w:szCs w:val="16"/>
      </w:rPr>
      <w:t>26</w:t>
    </w:r>
    <w:r w:rsidRPr="00A87426">
      <w:rPr>
        <w:rFonts w:cs="Calibri"/>
        <w:b/>
        <w:sz w:val="16"/>
        <w:szCs w:val="16"/>
      </w:rPr>
      <w:t xml:space="preserve"> – 78300-000 Tangará da Serra-MT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0A83" w:rsidRDefault="00684B0D">
    <w:pPr>
      <w:pStyle w:val="Cabealho"/>
    </w:pPr>
  </w:p>
  <w:tbl>
    <w:tblPr>
      <w:tblW w:w="0" w:type="auto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2420"/>
      <w:gridCol w:w="6791"/>
    </w:tblGrid>
    <w:tr w:rsidR="008B0A83" w:rsidRPr="00225746" w:rsidTr="008B0A83">
      <w:tc>
        <w:tcPr>
          <w:tcW w:w="2420" w:type="dxa"/>
        </w:tcPr>
        <w:p w:rsidR="008B0A83" w:rsidRPr="00225746" w:rsidRDefault="00684B0D" w:rsidP="008B0A83">
          <w:pPr>
            <w:pStyle w:val="Cabealho"/>
            <w:jc w:val="center"/>
            <w:rPr>
              <w:rFonts w:ascii="Calibri" w:hAnsi="Calibri" w:cs="Calibri"/>
              <w:sz w:val="24"/>
              <w:szCs w:val="24"/>
            </w:rPr>
          </w:pPr>
          <w:r w:rsidRPr="00225746">
            <w:rPr>
              <w:rFonts w:ascii="Calibri" w:hAnsi="Calibri" w:cs="Calibri"/>
              <w:sz w:val="24"/>
              <w:szCs w:val="24"/>
            </w:rP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05pt;height:68.25pt" o:ole="">
                <v:imagedata r:id="rId1" o:title=""/>
              </v:shape>
              <o:OLEObject Type="Embed" ProgID="PBrush" ShapeID="_x0000_i1025" DrawAspect="Content" ObjectID="_1659505069" r:id="rId2"/>
            </w:object>
          </w:r>
        </w:p>
        <w:p w:rsidR="008B0A83" w:rsidRPr="00225746" w:rsidRDefault="00684B0D" w:rsidP="008B0A83">
          <w:pPr>
            <w:pStyle w:val="Cabealho"/>
            <w:jc w:val="center"/>
            <w:rPr>
              <w:rFonts w:ascii="Calibri" w:hAnsi="Calibri" w:cs="Calibri"/>
              <w:sz w:val="16"/>
              <w:szCs w:val="16"/>
            </w:rPr>
          </w:pPr>
          <w:r w:rsidRPr="00225746">
            <w:rPr>
              <w:rFonts w:ascii="Calibri" w:hAnsi="Calibri" w:cs="Calibri"/>
              <w:sz w:val="16"/>
              <w:szCs w:val="16"/>
            </w:rPr>
            <w:t>CONTROLADORIA INTERNA</w:t>
          </w:r>
        </w:p>
      </w:tc>
      <w:tc>
        <w:tcPr>
          <w:tcW w:w="6791" w:type="dxa"/>
        </w:tcPr>
        <w:p w:rsidR="008B0A83" w:rsidRPr="00225746" w:rsidRDefault="00684B0D" w:rsidP="008B0A83">
          <w:pPr>
            <w:pStyle w:val="Cabealho"/>
            <w:jc w:val="center"/>
            <w:rPr>
              <w:rFonts w:ascii="Calibri" w:hAnsi="Calibri" w:cs="Calibri"/>
              <w:b/>
              <w:bCs/>
              <w:sz w:val="64"/>
              <w:szCs w:val="64"/>
            </w:rPr>
          </w:pPr>
          <w:r w:rsidRPr="00225746">
            <w:rPr>
              <w:rFonts w:ascii="Calibri" w:hAnsi="Calibri" w:cs="Calibri"/>
              <w:b/>
              <w:bCs/>
              <w:sz w:val="64"/>
              <w:szCs w:val="64"/>
            </w:rPr>
            <w:t xml:space="preserve">CÂMARA </w:t>
          </w:r>
          <w:r w:rsidRPr="00225746">
            <w:rPr>
              <w:rFonts w:ascii="Calibri" w:hAnsi="Calibri" w:cs="Calibri"/>
              <w:b/>
              <w:bCs/>
              <w:sz w:val="64"/>
              <w:szCs w:val="64"/>
            </w:rPr>
            <w:t>MUNICIPAL</w:t>
          </w:r>
        </w:p>
        <w:p w:rsidR="008B0A83" w:rsidRPr="00225746" w:rsidRDefault="00684B0D" w:rsidP="008B0A83">
          <w:pPr>
            <w:pStyle w:val="Cabealho"/>
            <w:jc w:val="center"/>
            <w:rPr>
              <w:rFonts w:ascii="Calibri" w:hAnsi="Calibri" w:cs="Calibri"/>
              <w:sz w:val="24"/>
              <w:szCs w:val="24"/>
            </w:rPr>
          </w:pPr>
          <w:r w:rsidRPr="00225746">
            <w:rPr>
              <w:rFonts w:ascii="Calibri" w:hAnsi="Calibri" w:cs="Calibri"/>
              <w:sz w:val="24"/>
              <w:szCs w:val="24"/>
            </w:rPr>
            <w:t>Tangará da Serra - Mato Grosso</w:t>
          </w:r>
        </w:p>
      </w:tc>
    </w:tr>
  </w:tbl>
  <w:p w:rsidR="008B0A83" w:rsidRDefault="00684B0D" w:rsidP="008B0A83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25706"/>
    <w:rsid w:val="00684B0D"/>
    <w:rsid w:val="00754EAE"/>
    <w:rsid w:val="009B28D7"/>
    <w:rsid w:val="00F257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5706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F25706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F2570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F25706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154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</dc:creator>
  <cp:lastModifiedBy>Luciana</cp:lastModifiedBy>
  <cp:revision>1</cp:revision>
  <dcterms:created xsi:type="dcterms:W3CDTF">2020-08-21T12:28:00Z</dcterms:created>
  <dcterms:modified xsi:type="dcterms:W3CDTF">2020-08-21T12:51:00Z</dcterms:modified>
</cp:coreProperties>
</file>